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0FE4">
      <w:pPr>
        <w:spacing w:line="360" w:lineRule="auto"/>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2026年全国教育科学规划终身教育体系</w:t>
      </w:r>
    </w:p>
    <w:p w14:paraId="170F00A2">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研究专项指南</w:t>
      </w:r>
    </w:p>
    <w:p w14:paraId="6F28BBD8">
      <w:pPr>
        <w:spacing w:line="360" w:lineRule="auto"/>
        <w:rPr>
          <w:rFonts w:ascii="Times New Roman" w:hAnsi="Times New Roman" w:eastAsia="仿宋_GB2312" w:cs="Times New Roman"/>
          <w:sz w:val="32"/>
          <w:szCs w:val="32"/>
        </w:rPr>
      </w:pPr>
    </w:p>
    <w:p w14:paraId="69CDE5B3">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终身教育体系研究专项包括重大、重点和一般项目。</w:t>
      </w:r>
      <w:r>
        <w:rPr>
          <w:rFonts w:hint="eastAsia" w:ascii="Times New Roman" w:hAnsi="Times New Roman" w:eastAsia="仿宋_GB2312" w:cs="Times New Roman"/>
          <w:color w:val="auto"/>
          <w:sz w:val="32"/>
          <w:szCs w:val="32"/>
          <w:highlight w:val="none"/>
          <w:lang w:val="en-US" w:eastAsia="zh-CN"/>
        </w:rPr>
        <w:t>项目申请人</w:t>
      </w:r>
      <w:r>
        <w:rPr>
          <w:rFonts w:hint="eastAsia" w:ascii="Times New Roman" w:hAnsi="Times New Roman" w:eastAsia="仿宋_GB2312" w:cs="Times New Roman"/>
          <w:color w:val="auto"/>
          <w:sz w:val="32"/>
          <w:szCs w:val="32"/>
          <w:highlight w:val="none"/>
        </w:rPr>
        <w:t>必须使用指南中的题目，按照指南意图对研究进行设计。</w:t>
      </w:r>
      <w:r>
        <w:rPr>
          <w:rFonts w:ascii="Times New Roman" w:hAnsi="Times New Roman" w:eastAsia="仿宋_GB2312" w:cs="Times New Roman"/>
          <w:color w:val="auto"/>
          <w:sz w:val="32"/>
          <w:szCs w:val="32"/>
          <w:highlight w:val="none"/>
        </w:rPr>
        <w:t>研究期限为2-3年，不得延期。每个选题原则上只确立1个立项项目。</w:t>
      </w:r>
    </w:p>
    <w:p w14:paraId="28E50D19">
      <w:pPr>
        <w:spacing w:before="156" w:beforeLines="50" w:line="360" w:lineRule="auto"/>
        <w:ind w:firstLine="640" w:firstLineChars="200"/>
        <w:rPr>
          <w:rFonts w:hint="eastAsia" w:ascii="黑体" w:hAnsi="黑体" w:eastAsia="黑体" w:cs="黑体"/>
          <w:sz w:val="32"/>
          <w:szCs w:val="32"/>
        </w:rPr>
      </w:pPr>
      <w:r>
        <w:rPr>
          <w:rFonts w:ascii="黑体" w:hAnsi="黑体" w:eastAsia="黑体" w:cs="黑体"/>
          <w:sz w:val="32"/>
          <w:szCs w:val="32"/>
        </w:rPr>
        <w:t>1.优化终身学习公共服务研究（重大）</w:t>
      </w:r>
    </w:p>
    <w:p w14:paraId="07C6D282">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（1）研究终身学习公共服务的</w:t>
      </w:r>
      <w:r>
        <w:rPr>
          <w:rFonts w:hint="eastAsia" w:ascii="Times New Roman" w:hAnsi="Times New Roman" w:eastAsia="仿宋_GB2312" w:cs="Times New Roman"/>
          <w:sz w:val="32"/>
          <w:szCs w:val="32"/>
        </w:rPr>
        <w:t>理论建构与体系优化</w:t>
      </w:r>
      <w:r>
        <w:rPr>
          <w:rFonts w:ascii="Times New Roman" w:hAnsi="Times New Roman" w:eastAsia="仿宋_GB2312" w:cs="Times New Roman"/>
          <w:sz w:val="32"/>
          <w:szCs w:val="32"/>
        </w:rPr>
        <w:t>；（2）研究终身学习资源开发质量、共享机制与配置效率的优化；（3）研究基于国家智慧教育平台</w:t>
      </w:r>
      <w:r>
        <w:rPr>
          <w:rFonts w:hint="eastAsia" w:ascii="Times New Roman" w:hAnsi="Times New Roman" w:eastAsia="仿宋_GB2312" w:cs="Times New Roman"/>
          <w:sz w:val="32"/>
          <w:szCs w:val="32"/>
        </w:rPr>
        <w:t>终身学习中心的</w:t>
      </w:r>
      <w:r>
        <w:rPr>
          <w:rFonts w:ascii="Times New Roman" w:hAnsi="Times New Roman" w:eastAsia="仿宋_GB2312" w:cs="Times New Roman"/>
          <w:sz w:val="32"/>
          <w:szCs w:val="32"/>
        </w:rPr>
        <w:t>数字化与人工智能赋能的关键技术；（4）</w:t>
      </w:r>
      <w:r>
        <w:rPr>
          <w:rFonts w:hint="eastAsia" w:ascii="Times New Roman" w:hAnsi="Times New Roman" w:eastAsia="仿宋_GB2312" w:cs="Times New Roman"/>
          <w:sz w:val="32"/>
          <w:szCs w:val="32"/>
        </w:rPr>
        <w:t>基于学习者需求识别与大数据治理，研究</w:t>
      </w:r>
      <w:r>
        <w:rPr>
          <w:rFonts w:ascii="Times New Roman" w:hAnsi="Times New Roman" w:eastAsia="仿宋_GB2312" w:cs="Times New Roman"/>
          <w:sz w:val="32"/>
          <w:szCs w:val="32"/>
        </w:rPr>
        <w:t>面向</w:t>
      </w:r>
      <w:r>
        <w:rPr>
          <w:rFonts w:hint="eastAsia" w:ascii="Times New Roman" w:hAnsi="Times New Roman" w:eastAsia="仿宋_GB2312" w:cs="Times New Roman"/>
          <w:sz w:val="32"/>
          <w:szCs w:val="32"/>
        </w:rPr>
        <w:t>不同类型终身学习者的差异化服务路径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）研究</w:t>
      </w:r>
      <w:r>
        <w:rPr>
          <w:rFonts w:hint="eastAsia" w:ascii="Times New Roman" w:hAnsi="Times New Roman" w:eastAsia="仿宋_GB2312" w:cs="Times New Roman"/>
          <w:sz w:val="32"/>
          <w:szCs w:val="32"/>
        </w:rPr>
        <w:t>完善国家开放大学体系、</w:t>
      </w:r>
      <w:r>
        <w:rPr>
          <w:rFonts w:ascii="Times New Roman" w:hAnsi="Times New Roman" w:eastAsia="仿宋_GB2312" w:cs="Times New Roman"/>
          <w:sz w:val="32"/>
          <w:szCs w:val="32"/>
        </w:rPr>
        <w:t>促进终身学习公共服务质量提升与</w:t>
      </w:r>
      <w:r>
        <w:rPr>
          <w:rFonts w:hint="eastAsia" w:ascii="Times New Roman" w:hAnsi="Times New Roman" w:eastAsia="仿宋_GB2312" w:cs="Times New Roman"/>
          <w:sz w:val="32"/>
          <w:szCs w:val="32"/>
        </w:rPr>
        <w:t>学习型社会建设</w:t>
      </w:r>
      <w:r>
        <w:rPr>
          <w:rFonts w:ascii="Times New Roman" w:hAnsi="Times New Roman" w:eastAsia="仿宋_GB2312" w:cs="Times New Roman"/>
          <w:sz w:val="32"/>
          <w:szCs w:val="32"/>
        </w:rPr>
        <w:t>的制度安排。</w:t>
      </w:r>
    </w:p>
    <w:p w14:paraId="0C9DF89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2</w:t>
      </w:r>
      <w:r>
        <w:rPr>
          <w:rFonts w:ascii="黑体" w:hAnsi="黑体" w:eastAsia="黑体" w:cs="黑体"/>
          <w:sz w:val="32"/>
          <w:szCs w:val="32"/>
        </w:rPr>
        <w:t>.终身学习公共服务的质量认证标准和保障体系研究</w:t>
      </w:r>
      <w:r>
        <w:rPr>
          <w:rFonts w:hint="eastAsia" w:ascii="黑体" w:hAnsi="黑体" w:eastAsia="黑体" w:cs="黑体"/>
          <w:sz w:val="32"/>
          <w:szCs w:val="32"/>
        </w:rPr>
        <w:t>（重点）</w:t>
      </w:r>
    </w:p>
    <w:p w14:paraId="2087F847">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开展国内外终身学习公共服务的质量认证标准的比较研究，提出终身学习公共服务的质量认证标准的内涵、特征、基本框架和主要内容；（2）研究终身学习公共服务的多元质量保障主体的角色定位、权责划分与协同机制；（3）研究终身学习公共服务质量保障体系的关键要素、构建路径和运行机制；（4）研究数字化技术与终身学习公共服务的质量保障的融合范式，探索基于大数据和人工智能支持的质量监测评价应用场景和实践路径。</w:t>
      </w:r>
    </w:p>
    <w:p w14:paraId="6C859DF2">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3.国家终身教育立法的定位、边界与制度架构研究（重点）</w:t>
      </w:r>
    </w:p>
    <w:p w14:paraId="532A4CDB">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hint="eastAsia" w:ascii="Times New Roman" w:hAnsi="Times New Roman" w:eastAsia="仿宋_GB2312" w:cs="Times New Roman"/>
          <w:sz w:val="32"/>
          <w:szCs w:val="32"/>
        </w:rPr>
        <w:t>（1）梳理国际终身教育立法经验，提炼可资借鉴的本土化制度建构要素；（2）论证终身教育在教育法典中的体系定位，厘清其与职业教育、继续教育、老年教育、社区教育、青少年校外教育等相邻领域的概念边界及法定内涵，并阐明其与基础教育、高等教育等传统教育阶段的关系；（3）评估专门立法与分散入典两种路径，设计终身教育从现行政策到法典化的阶段性策略与过渡方案；（4）界定政府职责与社会参与的边界，构建多元主体权责清晰、激励约束并重的终身教育多元共治体系；（5）研究国家开放大学办学体系的法定职能与经费保障机制，推动学分银行、老年大学建设等实践的制度化。</w:t>
      </w:r>
    </w:p>
    <w:p w14:paraId="2CF36C6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4</w:t>
      </w:r>
      <w:r>
        <w:rPr>
          <w:rFonts w:ascii="黑体" w:hAnsi="黑体" w:eastAsia="黑体" w:cs="黑体"/>
          <w:sz w:val="32"/>
          <w:szCs w:val="32"/>
        </w:rPr>
        <w:t>.</w:t>
      </w:r>
      <w:r>
        <w:rPr>
          <w:rFonts w:hint="eastAsia" w:ascii="黑体" w:hAnsi="黑体" w:eastAsia="黑体" w:cs="黑体"/>
          <w:sz w:val="32"/>
          <w:szCs w:val="32"/>
        </w:rPr>
        <w:t>银发经济背景下老年教育产教融合研究</w:t>
      </w:r>
      <w:r>
        <w:rPr>
          <w:rFonts w:ascii="黑体" w:hAnsi="黑体" w:eastAsia="黑体" w:cs="黑体"/>
          <w:sz w:val="32"/>
          <w:szCs w:val="32"/>
        </w:rPr>
        <w:t>（</w:t>
      </w:r>
      <w:r>
        <w:rPr>
          <w:rFonts w:hint="eastAsia" w:ascii="黑体" w:hAnsi="黑体" w:eastAsia="黑体" w:cs="黑体"/>
          <w:sz w:val="32"/>
          <w:szCs w:val="32"/>
        </w:rPr>
        <w:t>重点</w:t>
      </w:r>
      <w:r>
        <w:rPr>
          <w:rFonts w:ascii="黑体" w:hAnsi="黑体" w:eastAsia="黑体" w:cs="黑体"/>
          <w:sz w:val="32"/>
          <w:szCs w:val="32"/>
        </w:rPr>
        <w:t>）</w:t>
      </w:r>
    </w:p>
    <w:p w14:paraId="23DC1E47">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研究银发经济与老年教育相互促进、协同发展的内在逻辑；（2）开展国内外老年教育产教融合现状的文献综述与调查研究；（3）研究银发经济背景下老年教育教学场景与教学内容的创新设计；（4）研究老年</w:t>
      </w:r>
      <w:r>
        <w:rPr>
          <w:rFonts w:ascii="Times New Roman" w:hAnsi="Times New Roman" w:eastAsia="仿宋_GB2312" w:cs="Times New Roman"/>
          <w:sz w:val="32"/>
          <w:szCs w:val="32"/>
          <w:highlight w:val="none"/>
        </w:rPr>
        <w:t>人力资源</w:t>
      </w:r>
      <w:r>
        <w:rPr>
          <w:rFonts w:hint="default" w:ascii="Times New Roman" w:hAnsi="Times New Roman" w:eastAsia="仿宋_GB2312" w:cs="Times New Roman"/>
          <w:sz w:val="32"/>
          <w:szCs w:val="32"/>
          <w:highlight w:val="none"/>
          <w:lang w:val="en-US" w:eastAsia="zh-CN"/>
        </w:rPr>
        <w:t>价值发挥</w:t>
      </w:r>
      <w:r>
        <w:rPr>
          <w:rFonts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老有所为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的有效路径；（5）研究国家老年</w:t>
      </w:r>
      <w:r>
        <w:rPr>
          <w:rFonts w:ascii="Times New Roman" w:hAnsi="Times New Roman" w:eastAsia="仿宋_GB2312" w:cs="Times New Roman"/>
          <w:sz w:val="32"/>
          <w:szCs w:val="32"/>
        </w:rPr>
        <w:t>大学助力</w:t>
      </w:r>
      <w:r>
        <w:rPr>
          <w:rFonts w:hint="eastAsia" w:ascii="Times New Roman" w:hAnsi="Times New Roman" w:eastAsia="仿宋_GB2312" w:cs="Times New Roman"/>
          <w:sz w:val="32"/>
          <w:szCs w:val="32"/>
        </w:rPr>
        <w:t>银发</w:t>
      </w:r>
      <w:r>
        <w:rPr>
          <w:rFonts w:ascii="Times New Roman" w:hAnsi="Times New Roman" w:eastAsia="仿宋_GB2312" w:cs="Times New Roman"/>
          <w:sz w:val="32"/>
          <w:szCs w:val="32"/>
        </w:rPr>
        <w:t>经济发展的推进策略。</w:t>
      </w:r>
    </w:p>
    <w:p w14:paraId="7842D2A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5</w:t>
      </w:r>
      <w:r>
        <w:rPr>
          <w:rFonts w:ascii="黑体" w:hAnsi="黑体" w:eastAsia="黑体" w:cs="黑体"/>
          <w:sz w:val="32"/>
          <w:szCs w:val="32"/>
        </w:rPr>
        <w:t>.成人终身学习成果档案与认证转换体系研究（</w:t>
      </w:r>
      <w:r>
        <w:rPr>
          <w:rFonts w:hint="eastAsia" w:ascii="黑体" w:hAnsi="黑体" w:eastAsia="黑体" w:cs="黑体"/>
          <w:sz w:val="32"/>
          <w:szCs w:val="32"/>
        </w:rPr>
        <w:t>一般</w:t>
      </w:r>
      <w:r>
        <w:rPr>
          <w:rFonts w:ascii="黑体" w:hAnsi="黑体" w:eastAsia="黑体" w:cs="黑体"/>
          <w:sz w:val="32"/>
          <w:szCs w:val="32"/>
        </w:rPr>
        <w:t>）</w:t>
      </w:r>
    </w:p>
    <w:p w14:paraId="46F97D53">
      <w:pPr>
        <w:spacing w:line="360" w:lineRule="auto"/>
        <w:ind w:firstLine="640" w:firstLineChars="200"/>
        <w:jc w:val="left"/>
        <w:outlineLvl w:val="0"/>
        <w:rPr>
          <w:rFonts w:ascii="Times New Roman" w:hAnsi="Times New Roman" w:eastAsia="仿宋_GB2312" w:cs="Times New Roman"/>
          <w:sz w:val="32"/>
          <w:szCs w:val="32"/>
        </w:rPr>
      </w:pPr>
      <w:r>
        <w:rPr>
          <w:rFonts w:ascii="Times New Roman" w:hAnsi="Times New Roman" w:eastAsia="楷体_GB2312" w:cs="Times New Roman"/>
          <w:kern w:val="44"/>
          <w:sz w:val="32"/>
          <w:szCs w:val="32"/>
        </w:rPr>
        <w:t>指南意图：</w:t>
      </w:r>
      <w:r>
        <w:rPr>
          <w:rFonts w:ascii="Times New Roman" w:hAnsi="Times New Roman" w:eastAsia="仿宋_GB2312" w:cs="Times New Roman"/>
          <w:sz w:val="32"/>
          <w:szCs w:val="32"/>
        </w:rPr>
        <w:t>（1）研究成人终身学习成果认证方法，丰富终身学习理论；（2）研究成人终身学习成果积累与转换机制；（3）基于区块链技术的终身学习成果管理与服务平台研究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（4）成人终身学习成果档案与认证转换体系应用研究。</w:t>
      </w:r>
    </w:p>
    <w:p w14:paraId="4D02B47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6</w:t>
      </w:r>
      <w:r>
        <w:rPr>
          <w:rFonts w:ascii="黑体" w:hAnsi="黑体" w:eastAsia="黑体" w:cs="黑体"/>
          <w:sz w:val="32"/>
          <w:szCs w:val="32"/>
        </w:rPr>
        <w:t>.</w:t>
      </w:r>
      <w:r>
        <w:rPr>
          <w:rFonts w:hint="eastAsia" w:ascii="黑体" w:hAnsi="黑体" w:eastAsia="黑体" w:cs="黑体"/>
          <w:sz w:val="32"/>
          <w:szCs w:val="32"/>
        </w:rPr>
        <w:t>智能体赋能的能力导向终身学习模式与评估研究</w:t>
      </w:r>
      <w:r>
        <w:rPr>
          <w:rFonts w:ascii="黑体" w:hAnsi="黑体" w:eastAsia="黑体" w:cs="黑体"/>
          <w:sz w:val="32"/>
          <w:szCs w:val="32"/>
        </w:rPr>
        <w:t>（一般）</w:t>
      </w:r>
    </w:p>
    <w:p w14:paraId="2A12314D">
      <w:pPr>
        <w:spacing w:before="120" w:after="120" w:line="360" w:lineRule="auto"/>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基于能力本位教育理念，研究智能体驱动的能力导向终身学习模式的理论内涵与运行逻辑；（2）聚焦真实问题场景与职业能力发展需求，研究多智能体支撑的终身学习服务实现路径；（3）基于学习者与智能体交互数据，构建面向特定领域的终身学习多维能力评估体系；（4）依托现有终身学习公共服务平台开展调研与应用数据分析。</w:t>
      </w:r>
    </w:p>
    <w:p w14:paraId="091D3CEE">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7.开放教育高质量核心课程建设与智能化教学模式研究（一般）</w:t>
      </w:r>
    </w:p>
    <w:p w14:paraId="75C0F283">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hint="eastAsia" w:ascii="Times New Roman" w:hAnsi="Times New Roman" w:eastAsia="仿宋_GB2312" w:cs="Times New Roman"/>
          <w:sz w:val="32"/>
          <w:szCs w:val="32"/>
        </w:rPr>
        <w:t>（1）深入分析开放教育学生群体的构成特征、学习行为模式与学习需求；（2）聚焦开放教育学习需求和应用型人才培养需要，研究如何构建以岗位胜任力培养为导向的核心课程体系；（3）探索人工智能、大数据等技术与开放教育大规模教学的深度融合路径，研究设计适应成人学习特点的智能化教学工具与个性化学习支持系统；（4）开展人工智能赋能教学的实践研究，形成可推广的开放教育大规模、智能化教学模式。</w:t>
      </w:r>
    </w:p>
    <w:p w14:paraId="6C694AC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E3E68-B695-498D-A8D5-6D862D071F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AF57E8-91AC-4431-955F-AAB27988FBAD}"/>
  </w:font>
  <w:font w:name="方正小标宋简体">
    <w:panose1 w:val="02000000000000000000"/>
    <w:charset w:val="86"/>
    <w:family w:val="auto"/>
    <w:pitch w:val="default"/>
    <w:sig w:usb0="00000001" w:usb1="08000000" w:usb2="00000000" w:usb3="00000000" w:csb0="00040000" w:csb1="00000000"/>
    <w:embedRegular r:id="rId3" w:fontKey="{F90CB01E-7D00-45B4-9E93-48E133483450}"/>
  </w:font>
  <w:font w:name="仿宋_GB2312">
    <w:panose1 w:val="02010609030101010101"/>
    <w:charset w:val="86"/>
    <w:family w:val="modern"/>
    <w:pitch w:val="default"/>
    <w:sig w:usb0="00000001" w:usb1="080E0000" w:usb2="00000000" w:usb3="00000000" w:csb0="00040000" w:csb1="00000000"/>
    <w:embedRegular r:id="rId4" w:fontKey="{BDBC3323-0BAC-48AD-B684-816B99DCB23B}"/>
  </w:font>
  <w:font w:name="楷体_GB2312">
    <w:panose1 w:val="02010609030101010101"/>
    <w:charset w:val="86"/>
    <w:family w:val="modern"/>
    <w:pitch w:val="default"/>
    <w:sig w:usb0="00000001" w:usb1="080E0000" w:usb2="00000000" w:usb3="00000000" w:csb0="00040000" w:csb1="00000000"/>
    <w:embedRegular r:id="rId5" w:fontKey="{D1ED389B-3354-4A0A-9339-04F092BF035C}"/>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07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CAD10">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2CAD10">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2429F"/>
    <w:rsid w:val="0C6D2071"/>
    <w:rsid w:val="162264E7"/>
    <w:rsid w:val="20F25D2F"/>
    <w:rsid w:val="2B6C5576"/>
    <w:rsid w:val="364C41EE"/>
    <w:rsid w:val="3CA9766F"/>
    <w:rsid w:val="3DD2429F"/>
    <w:rsid w:val="418A1D70"/>
    <w:rsid w:val="4FC71015"/>
    <w:rsid w:val="52B73EB4"/>
    <w:rsid w:val="55BC3D75"/>
    <w:rsid w:val="58934138"/>
    <w:rsid w:val="702F49DD"/>
    <w:rsid w:val="7814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1533</Words>
  <Characters>1545</Characters>
  <Lines>0</Lines>
  <Paragraphs>0</Paragraphs>
  <TotalTime>1</TotalTime>
  <ScaleCrop>false</ScaleCrop>
  <LinksUpToDate>false</LinksUpToDate>
  <CharactersWithSpaces>1545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2026-05-25T07:38:00Z</dcterms:created>
  <dc:creator>姜雨婷</dc:creator>
  <cp:lastModifiedBy>聆心</cp:lastModifiedBy>
  <cp:lastPrinted>2026-05-25T08:52:00Z</cp:lastPrinted>
  <dcterms:modified xsi:type="dcterms:W3CDTF">2026-06-01T01:43:42Z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C8A20BE6749049E08E1AB2C4D8FD7C79_13</vt:lpwstr>
  </property>
  <property fmtid="{D5CDD505-2E9C-101B-9397-08002B2CF9AE}" pid="4" name="KSOTemplateDocerSaveRecord">
    <vt:lpwstr>eyJoZGlkIjoiMzEwNTM5NzYwMDRjMzkwZTVkZjY2ODkwMGIxNGU0OTUiLCJ1c2VySWQiOiIzNTQyMjIwODIifQ==</vt:lpwstr>
  </property>
</Properties>
</file>